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D79EB" w:rsidP="009D79EB" w:rsidRDefault="009D79EB" w14:paraId="05042BAC" w14:textId="215058A2">
      <w:pPr>
        <w:rPr>
          <w:rFonts w:ascii="Calibri" w:hAnsi="Calibri" w:eastAsia="Times New Roman" w:cs="Calibri"/>
          <w:color w:val="000000"/>
          <w:sz w:val="26"/>
          <w:szCs w:val="26"/>
          <w:lang w:val="en-US" w:eastAsia="fr-FR"/>
        </w:rPr>
      </w:pPr>
      <w:r>
        <w:rPr>
          <w:noProof/>
        </w:rPr>
        <w:drawing>
          <wp:anchor distT="0" distB="0" distL="114300" distR="114300" simplePos="0" relativeHeight="251658240" behindDoc="0" locked="0" layoutInCell="1" allowOverlap="1" wp14:anchorId="2C9449A4" wp14:editId="7F490C22">
            <wp:simplePos x="0" y="0"/>
            <wp:positionH relativeFrom="margin">
              <wp:posOffset>3720465</wp:posOffset>
            </wp:positionH>
            <wp:positionV relativeFrom="margin">
              <wp:posOffset>1905</wp:posOffset>
            </wp:positionV>
            <wp:extent cx="2040255" cy="1624965"/>
            <wp:effectExtent l="0" t="0" r="0" b="635"/>
            <wp:wrapSquare wrapText="bothSides"/>
            <wp:docPr id="1880879217" name="Image 1" descr="Drainix, revêtement perméable du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inix, revêtement perméable durab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40255" cy="16249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D79EB" w:rsidP="009D79EB" w:rsidRDefault="009D79EB" w14:paraId="10CA62BB" w14:textId="4AC98F08">
      <w:pPr>
        <w:rPr>
          <w:rFonts w:ascii="Arial" w:hAnsi="Arial" w:cs="Arial"/>
          <w:b/>
        </w:rPr>
      </w:pPr>
      <w:r>
        <w:fldChar w:fldCharType="begin"/>
      </w:r>
      <w:r>
        <w:instrText xml:space="preserve"> INCLUDEPICTURE "https://www.deschacht.eu/wp-content/uploads/2023/08/drainix-1.png" \* MERGEFORMATINET </w:instrText>
      </w:r>
      <w:r w:rsidR="00E52807">
        <w:fldChar w:fldCharType="separate"/>
      </w:r>
      <w:r>
        <w:fldChar w:fldCharType="end"/>
      </w:r>
      <w:r w:rsidR="008D4A6F">
        <w:rPr>
          <w:rFonts w:ascii="Arial" w:hAnsi="Arial" w:cs="Arial"/>
          <w:b/>
        </w:rPr>
        <w:t xml:space="preserve">CAHIER DES CHARGES : </w:t>
      </w:r>
    </w:p>
    <w:p w:rsidR="009D79EB" w:rsidP="009D79EB" w:rsidRDefault="009D79EB" w14:paraId="3F3A5402" w14:textId="61437AC4">
      <w:pPr>
        <w:rPr>
          <w:rFonts w:ascii="Calibri" w:hAnsi="Calibri" w:eastAsia="Times New Roman" w:cs="Calibri"/>
          <w:color w:val="000000"/>
          <w:sz w:val="26"/>
          <w:szCs w:val="26"/>
          <w:lang w:eastAsia="fr-FR"/>
        </w:rPr>
      </w:pPr>
      <w:r>
        <w:rPr>
          <w:rFonts w:ascii="Arial" w:hAnsi="Arial" w:cs="Arial"/>
          <w:b/>
        </w:rPr>
        <w:t xml:space="preserve">Deschacht </w:t>
      </w:r>
      <w:proofErr w:type="spellStart"/>
      <w:r>
        <w:rPr>
          <w:rFonts w:ascii="Arial" w:hAnsi="Arial" w:cs="Arial"/>
          <w:b/>
        </w:rPr>
        <w:t>Drainix</w:t>
      </w:r>
      <w:proofErr w:type="spellEnd"/>
      <w:r w:rsidRPr="009D79EB">
        <w:rPr>
          <w:rFonts w:ascii="Calibri" w:hAnsi="Calibri" w:eastAsia="Times New Roman" w:cs="Calibri"/>
          <w:color w:val="000000"/>
          <w:sz w:val="26"/>
          <w:szCs w:val="26"/>
          <w:lang w:eastAsia="fr-FR"/>
        </w:rPr>
        <w:t>®</w:t>
      </w:r>
    </w:p>
    <w:p w:rsidR="009D79EB" w:rsidP="009D79EB" w:rsidRDefault="009D79EB" w14:paraId="72CFDE6D" w14:textId="77777777">
      <w:pPr>
        <w:rPr>
          <w:rFonts w:ascii="Calibri" w:hAnsi="Calibri" w:eastAsia="Times New Roman" w:cs="Calibri"/>
          <w:color w:val="000000"/>
          <w:sz w:val="26"/>
          <w:szCs w:val="26"/>
          <w:lang w:eastAsia="fr-FR"/>
        </w:rPr>
      </w:pPr>
    </w:p>
    <w:p w:rsidR="009D79EB" w:rsidP="009D79EB" w:rsidRDefault="009D79EB" w14:paraId="09DDE3A4" w14:textId="77777777">
      <w:pPr>
        <w:rPr>
          <w:rFonts w:ascii="Calibri" w:hAnsi="Calibri" w:eastAsia="Times New Roman" w:cs="Calibri"/>
          <w:color w:val="000000"/>
          <w:sz w:val="26"/>
          <w:szCs w:val="26"/>
          <w:lang w:eastAsia="fr-FR"/>
        </w:rPr>
      </w:pPr>
    </w:p>
    <w:p w:rsidRPr="004679AA" w:rsidR="009D79EB" w:rsidP="009D79EB" w:rsidRDefault="009D79EB" w14:paraId="6F44F5FC" w14:textId="77777777">
      <w:pPr>
        <w:rPr>
          <w:rFonts w:ascii="Arial" w:hAnsi="Arial" w:cs="Arial"/>
          <w:b/>
        </w:rPr>
      </w:pPr>
    </w:p>
    <w:p w:rsidR="009D79EB" w:rsidP="009D79EB" w:rsidRDefault="009D79EB" w14:paraId="636B2CB0" w14:textId="77777777">
      <w:pPr>
        <w:pBdr>
          <w:bottom w:val="single" w:color="auto" w:sz="4" w:space="1"/>
        </w:pBdr>
        <w:rPr>
          <w:rFonts w:ascii="Arial" w:hAnsi="Arial" w:cs="Arial"/>
        </w:rPr>
      </w:pPr>
    </w:p>
    <w:p w:rsidR="009D79EB" w:rsidP="009D79EB" w:rsidRDefault="009D79EB" w14:paraId="219E59E5" w14:textId="77777777">
      <w:pPr>
        <w:rPr>
          <w:rFonts w:ascii="Arial" w:hAnsi="Arial" w:cs="Arial"/>
        </w:rPr>
      </w:pPr>
    </w:p>
    <w:p w:rsidRPr="00FA0170" w:rsidR="009D79EB" w:rsidP="009D79EB" w:rsidRDefault="009D79EB" w14:paraId="52EB66A1" w14:textId="77777777">
      <w:pPr>
        <w:rPr>
          <w:rFonts w:ascii="Arial" w:hAnsi="Arial" w:cs="Arial"/>
          <w:b/>
          <w:color w:val="000000" w:themeColor="text1"/>
          <w:u w:val="single"/>
        </w:rPr>
      </w:pPr>
    </w:p>
    <w:p w:rsidRPr="00E52807" w:rsidR="008D4A6F" w:rsidP="00E52807" w:rsidRDefault="008D4A6F" w14:paraId="3FB19399" w14:textId="77777777">
      <w:pPr>
        <w:jc w:val="both"/>
        <w:rPr>
          <w:rFonts w:ascii="Calibri" w:hAnsi="Calibri" w:eastAsia="Times New Roman" w:cs="Calibri"/>
          <w:color w:val="212121"/>
          <w:lang w:val="fr-FR" w:eastAsia="fr-FR"/>
        </w:rPr>
      </w:pPr>
    </w:p>
    <w:p w:rsidRPr="00E52807" w:rsidR="008D4A6F" w:rsidP="00E52807" w:rsidRDefault="008D4A6F" w14:paraId="0FBF153A" w14:textId="77777777">
      <w:pPr>
        <w:jc w:val="both"/>
        <w:rPr>
          <w:rFonts w:ascii="Calibri" w:hAnsi="Calibri" w:eastAsia="Times New Roman" w:cs="Calibri"/>
          <w:color w:val="212121"/>
          <w:lang w:val="fr-FR" w:eastAsia="fr-FR"/>
        </w:rPr>
      </w:pPr>
    </w:p>
    <w:p w:rsidRPr="00E52807" w:rsidR="008D4A6F" w:rsidP="00E52807" w:rsidRDefault="008D4A6F" w14:paraId="242A8198" w14:textId="1748BEBA">
      <w:pPr>
        <w:jc w:val="both"/>
        <w:rPr>
          <w:rFonts w:ascii="Calibri" w:hAnsi="Calibri" w:eastAsia="Times New Roman" w:cs="Calibri"/>
          <w:color w:val="212121"/>
          <w:lang w:eastAsia="fr-FR"/>
        </w:rPr>
      </w:pPr>
      <w:r w:rsidRPr="00E52807">
        <w:rPr>
          <w:rFonts w:ascii="Calibri" w:hAnsi="Calibri" w:eastAsia="Times New Roman" w:cs="Calibri"/>
          <w:color w:val="212121"/>
          <w:lang w:eastAsia="fr-FR"/>
        </w:rPr>
        <w:t xml:space="preserve">Le revêtement est une dalle en béton avec des ouvertures, ayant une surface perméable à l’eau d'environ 30% et une surface d'infiltration d'environ 50%. Il est installé avec une épaisseur de 15 cm. Les ouvertures sont obtenues en installant un cadre en plastique PP dans lequel le béton est coulé. Pour positionner ce cadre, une couche de pavage d’une épaisseur de 3 à 4 cm est d’abord placée. Cela assure une surface plane et une épaisseur du béton. </w:t>
      </w:r>
    </w:p>
    <w:p w:rsidRPr="00E52807" w:rsidR="008D4A6F" w:rsidP="00E52807" w:rsidRDefault="008D4A6F" w14:paraId="0DBA5E4B" w14:textId="77777777">
      <w:pPr>
        <w:jc w:val="both"/>
        <w:rPr>
          <w:rFonts w:ascii="Calibri" w:hAnsi="Calibri" w:eastAsia="Times New Roman" w:cs="Calibri"/>
          <w:color w:val="212121"/>
          <w:lang w:eastAsia="fr-FR"/>
        </w:rPr>
      </w:pPr>
    </w:p>
    <w:p w:rsidR="3931F13F" w:rsidP="74BD8401" w:rsidRDefault="3931F13F" w14:paraId="04847E41" w14:textId="321A20BC">
      <w:pPr>
        <w:jc w:val="both"/>
        <w:rPr>
          <w:rFonts w:ascii="Calibri" w:hAnsi="Calibri" w:eastAsia="Times New Roman" w:cs="Calibri"/>
          <w:color w:val="auto"/>
          <w:lang w:eastAsia="fr-FR"/>
        </w:rPr>
      </w:pPr>
      <w:r w:rsidRPr="74BD8401" w:rsidR="3931F13F">
        <w:rPr>
          <w:rFonts w:ascii="Calibri" w:hAnsi="Calibri" w:eastAsia="Times New Roman" w:cs="Calibri"/>
          <w:color w:val="auto"/>
          <w:lang w:eastAsia="fr-FR"/>
        </w:rPr>
        <w:t>Les éléments en plastique mesurent 120 × 60 × 15 cm. Ils sont équipés, sur leur face inférieure, d’entretoises d’une hauteur de 37 mm et comportent 32 pointes par cadre. La distance entre les centres de deux pointes est de 15 cm, de sorte qu’un treillis d’armature de 15 × 15 cm, avec un diamètre de fil de 8 mm, peut être placé sur le cadre plastique, à la hauteur des entretoises prévues.</w:t>
      </w:r>
    </w:p>
    <w:p w:rsidR="3931F13F" w:rsidP="74BD8401" w:rsidRDefault="3931F13F" w14:paraId="10C2A8D5" w14:textId="6667EBDA">
      <w:pPr>
        <w:pStyle w:val="Standaard"/>
        <w:jc w:val="both"/>
        <w:rPr>
          <w:rFonts w:ascii="Calibri" w:hAnsi="Calibri" w:eastAsia="Times New Roman" w:cs="Calibri"/>
          <w:color w:val="auto"/>
          <w:lang w:eastAsia="fr-FR"/>
        </w:rPr>
      </w:pPr>
      <w:r w:rsidRPr="74BD8401" w:rsidR="3931F13F">
        <w:rPr>
          <w:rFonts w:ascii="Calibri" w:hAnsi="Calibri" w:eastAsia="Times New Roman" w:cs="Calibri"/>
          <w:color w:val="auto"/>
          <w:lang w:eastAsia="fr-FR"/>
        </w:rPr>
        <w:t>Cela empêche tout déplacement des cadres les uns par rapport aux autres et contribue également à l’armature du béton. La structure de la partie supérieure du cadre plastique est conçue de manière à permettre un retrait facile de la plaque supérieure après le bétonnage.</w:t>
      </w:r>
    </w:p>
    <w:p w:rsidRPr="00E52807" w:rsidR="00F44587" w:rsidP="74BD8401" w:rsidRDefault="00F44587" w14:paraId="2181B569" w14:textId="77777777">
      <w:pPr>
        <w:jc w:val="both"/>
        <w:rPr>
          <w:rFonts w:ascii="Calibri" w:hAnsi="Calibri" w:eastAsia="Times New Roman" w:cs="Calibri"/>
          <w:color w:val="auto"/>
          <w:lang w:eastAsia="fr-FR"/>
        </w:rPr>
      </w:pPr>
    </w:p>
    <w:p w:rsidR="3931F13F" w:rsidP="74BD8401" w:rsidRDefault="3931F13F" w14:paraId="28A72181" w14:textId="59360252">
      <w:pPr>
        <w:jc w:val="both"/>
        <w:rPr>
          <w:rFonts w:ascii="Calibri" w:hAnsi="Calibri" w:eastAsia="Times New Roman" w:cs="Calibri"/>
          <w:color w:val="auto"/>
          <w:lang w:eastAsia="fr-FR"/>
        </w:rPr>
      </w:pPr>
      <w:r w:rsidRPr="74BD8401" w:rsidR="3931F13F">
        <w:rPr>
          <w:rFonts w:ascii="Calibri" w:hAnsi="Calibri" w:eastAsia="Times New Roman" w:cs="Calibri"/>
          <w:color w:val="auto"/>
          <w:lang w:eastAsia="fr-FR"/>
        </w:rPr>
        <w:t>Pour obtenir une finition uniforme et esthétique, il est recommandé d’utiliser un béton avec un Dmax de 14 mm.</w:t>
      </w:r>
    </w:p>
    <w:p w:rsidRPr="00E52807" w:rsidR="00E52807" w:rsidP="00E52807" w:rsidRDefault="00E52807" w14:paraId="6BF74643" w14:textId="77777777">
      <w:pPr>
        <w:jc w:val="both"/>
      </w:pPr>
    </w:p>
    <w:sectPr w:rsidRPr="00E52807" w:rsidR="00FA025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EB"/>
    <w:rsid w:val="00803A75"/>
    <w:rsid w:val="008D4A6F"/>
    <w:rsid w:val="009D79EB"/>
    <w:rsid w:val="00D40ADD"/>
    <w:rsid w:val="00E04F5A"/>
    <w:rsid w:val="00E52807"/>
    <w:rsid w:val="00F44587"/>
    <w:rsid w:val="3931F13F"/>
    <w:rsid w:val="74BD840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7937"/>
  <w15:chartTrackingRefBased/>
  <w15:docId w15:val="{B976B3B0-9ADC-6047-8FBB-33FE0F55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basedOn w:val="Standaard"/>
    <w:rsid w:val="009D79EB"/>
    <w:pPr>
      <w:spacing w:before="100" w:beforeAutospacing="1" w:after="100" w:afterAutospacing="1"/>
    </w:pPr>
    <w:rPr>
      <w:rFonts w:ascii="Times New Roman" w:hAnsi="Times New Roman" w:eastAsia="Times New Roman" w:cs="Times New Roman"/>
      <w:lang w:eastAsia="fr-FR"/>
    </w:rPr>
  </w:style>
  <w:style w:type="character" w:styleId="apple-converted-space" w:customStyle="1">
    <w:name w:val="apple-converted-space"/>
    <w:basedOn w:val="Standaardalinea-lettertype"/>
    <w:rsid w:val="009D79EB"/>
  </w:style>
  <w:style w:type="paragraph" w:styleId="Normaalweb">
    <w:name w:val="Normal (Web)"/>
    <w:basedOn w:val="Standaard"/>
    <w:uiPriority w:val="99"/>
    <w:semiHidden/>
    <w:unhideWhenUsed/>
    <w:rsid w:val="008D4A6F"/>
    <w:pPr>
      <w:spacing w:before="100" w:beforeAutospacing="1" w:after="100" w:afterAutospacing="1"/>
    </w:pPr>
    <w:rPr>
      <w:rFonts w:ascii="Times New Roman" w:hAnsi="Times New Roman" w:eastAsia="Times New Roman" w:cs="Times New Roman"/>
      <w:lang w:eastAsia="fr-FR"/>
    </w:rPr>
  </w:style>
  <w:style w:type="character" w:styleId="Nadruk">
    <w:name w:val="Emphasis"/>
    <w:basedOn w:val="Standaardalinea-lettertype"/>
    <w:uiPriority w:val="20"/>
    <w:qFormat/>
    <w:rsid w:val="008D4A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61205">
      <w:bodyDiv w:val="1"/>
      <w:marLeft w:val="0"/>
      <w:marRight w:val="0"/>
      <w:marTop w:val="0"/>
      <w:marBottom w:val="0"/>
      <w:divBdr>
        <w:top w:val="none" w:sz="0" w:space="0" w:color="auto"/>
        <w:left w:val="none" w:sz="0" w:space="0" w:color="auto"/>
        <w:bottom w:val="none" w:sz="0" w:space="0" w:color="auto"/>
        <w:right w:val="none" w:sz="0" w:space="0" w:color="auto"/>
      </w:divBdr>
    </w:div>
    <w:div w:id="62982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E5DBE4622C864E8B920886FC3B5887" ma:contentTypeVersion="16" ma:contentTypeDescription="Crée un document." ma:contentTypeScope="" ma:versionID="167aa4de2ae00b79a6b907b944323fa0">
  <xsd:schema xmlns:xsd="http://www.w3.org/2001/XMLSchema" xmlns:xs="http://www.w3.org/2001/XMLSchema" xmlns:p="http://schemas.microsoft.com/office/2006/metadata/properties" xmlns:ns2="c7471643-67bf-4f3b-9cb9-5796acf1f401" xmlns:ns3="f5f0dadb-5e2b-43f2-99d9-eb54668e6b58" targetNamespace="http://schemas.microsoft.com/office/2006/metadata/properties" ma:root="true" ma:fieldsID="46e314bdef089088da9bfa677f8fd534" ns2:_="" ns3:_="">
    <xsd:import namespace="c7471643-67bf-4f3b-9cb9-5796acf1f401"/>
    <xsd:import namespace="f5f0dadb-5e2b-43f2-99d9-eb54668e6b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71643-67bf-4f3b-9cb9-5796acf1f40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55fa3a78-39bf-4bd0-877e-e5e64b9f18d9}" ma:internalName="TaxCatchAll" ma:showField="CatchAllData" ma:web="c7471643-67bf-4f3b-9cb9-5796acf1f4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dadb-5e2b-43f2-99d9-eb54668e6b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2841c38d-4cc4-4595-8302-fe1370c9eb6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471643-67bf-4f3b-9cb9-5796acf1f401" xsi:nil="true"/>
    <lcf76f155ced4ddcb4097134ff3c332f xmlns="f5f0dadb-5e2b-43f2-99d9-eb54668e6b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67E577-8F2C-4EE9-B61B-C51CFA4F5166}"/>
</file>

<file path=customXml/itemProps2.xml><?xml version="1.0" encoding="utf-8"?>
<ds:datastoreItem xmlns:ds="http://schemas.openxmlformats.org/officeDocument/2006/customXml" ds:itemID="{39610F9C-1E77-431F-833D-C9CBCD1C7C17}"/>
</file>

<file path=customXml/itemProps3.xml><?xml version="1.0" encoding="utf-8"?>
<ds:datastoreItem xmlns:ds="http://schemas.openxmlformats.org/officeDocument/2006/customXml" ds:itemID="{A451DD22-DE2E-407C-A1AA-19ABDED2B3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Paillot</dc:creator>
  <cp:keywords/>
  <dc:description/>
  <cp:lastModifiedBy>Corine Bailly</cp:lastModifiedBy>
  <cp:revision>5</cp:revision>
  <dcterms:created xsi:type="dcterms:W3CDTF">2023-10-31T11:03:00Z</dcterms:created>
  <dcterms:modified xsi:type="dcterms:W3CDTF">2026-09-17T10:08:10Z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0x010100B0E5DBE4622C864E8B920886FC3B5887</vt:lpwstr>
  </property>
  <property fmtid="{D5CDD505-2E9C-101B-9397-08002B2CF9AE}" pid="3" name="MediaServiceImageTags">
    <vt:lpwstr/>
  </property>
</Properties>
</file>