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D0BA" w14:textId="6FFFE268" w:rsidR="00154386" w:rsidRDefault="00154386" w:rsidP="00154386">
      <w:pPr>
        <w:rPr>
          <w:rFonts w:ascii="Arial" w:hAnsi="Arial" w:cs="Arial"/>
          <w:b/>
          <w:sz w:val="24"/>
          <w:szCs w:val="24"/>
        </w:rPr>
      </w:pPr>
      <w:r>
        <w:rPr>
          <w:rFonts w:ascii="Arial" w:hAnsi="Arial"/>
          <w:b/>
          <w:sz w:val="24"/>
          <w:szCs w:val="24"/>
        </w:rPr>
        <w:t xml:space="preserve">TEXTE DE </w:t>
      </w:r>
      <w:r w:rsidR="00D31077">
        <w:rPr>
          <w:rFonts w:ascii="Arial" w:hAnsi="Arial"/>
          <w:b/>
          <w:sz w:val="24"/>
          <w:szCs w:val="24"/>
        </w:rPr>
        <w:t>SP</w:t>
      </w:r>
      <w:r w:rsidR="00885D8A">
        <w:rPr>
          <w:rFonts w:ascii="Arial" w:hAnsi="Arial"/>
          <w:b/>
          <w:sz w:val="24"/>
          <w:szCs w:val="24"/>
        </w:rPr>
        <w:t>É</w:t>
      </w:r>
      <w:r w:rsidR="00D31077">
        <w:rPr>
          <w:rFonts w:ascii="Arial" w:hAnsi="Arial"/>
          <w:b/>
          <w:sz w:val="24"/>
          <w:szCs w:val="24"/>
        </w:rPr>
        <w:t>CIFICATION</w:t>
      </w:r>
      <w:r>
        <w:rPr>
          <w:rFonts w:ascii="Arial" w:hAnsi="Arial"/>
          <w:b/>
          <w:sz w:val="24"/>
          <w:szCs w:val="24"/>
        </w:rPr>
        <w:t xml:space="preserve"> : </w:t>
      </w:r>
    </w:p>
    <w:p w14:paraId="360844FD" w14:textId="77777777" w:rsidR="00154386" w:rsidRPr="004679AA" w:rsidRDefault="00154386" w:rsidP="00154386">
      <w:pPr>
        <w:rPr>
          <w:rFonts w:ascii="Arial" w:hAnsi="Arial" w:cs="Arial"/>
          <w:b/>
          <w:sz w:val="24"/>
          <w:szCs w:val="24"/>
        </w:rPr>
      </w:pPr>
      <w:r>
        <w:rPr>
          <w:rFonts w:ascii="Arial" w:hAnsi="Arial"/>
          <w:b/>
          <w:sz w:val="24"/>
          <w:szCs w:val="24"/>
        </w:rPr>
        <w:t>S</w:t>
      </w:r>
      <w:r w:rsidR="00AB42F7">
        <w:rPr>
          <w:rFonts w:ascii="Arial" w:hAnsi="Arial"/>
          <w:b/>
          <w:sz w:val="24"/>
          <w:szCs w:val="24"/>
        </w:rPr>
        <w:t>É</w:t>
      </w:r>
      <w:r>
        <w:rPr>
          <w:rFonts w:ascii="Arial" w:hAnsi="Arial"/>
          <w:b/>
          <w:sz w:val="24"/>
          <w:szCs w:val="24"/>
        </w:rPr>
        <w:t>PARATEUR D’HUILE ET COLLECTEUR DE BOUES INT</w:t>
      </w:r>
      <w:r w:rsidR="00AB42F7">
        <w:rPr>
          <w:rFonts w:ascii="Arial" w:hAnsi="Arial"/>
          <w:b/>
          <w:sz w:val="24"/>
          <w:szCs w:val="24"/>
        </w:rPr>
        <w:t>É</w:t>
      </w:r>
      <w:r>
        <w:rPr>
          <w:rFonts w:ascii="Arial" w:hAnsi="Arial"/>
          <w:b/>
          <w:sz w:val="24"/>
          <w:szCs w:val="24"/>
        </w:rPr>
        <w:t>GR</w:t>
      </w:r>
      <w:r w:rsidR="00AB42F7">
        <w:rPr>
          <w:rFonts w:ascii="Arial" w:hAnsi="Arial"/>
          <w:b/>
          <w:sz w:val="24"/>
          <w:szCs w:val="24"/>
        </w:rPr>
        <w:t>É</w:t>
      </w:r>
      <w:r>
        <w:rPr>
          <w:rFonts w:ascii="Arial" w:hAnsi="Arial"/>
          <w:b/>
          <w:sz w:val="24"/>
          <w:szCs w:val="24"/>
        </w:rPr>
        <w:t xml:space="preserve"> SELON LA NORME EN858-1</w:t>
      </w:r>
    </w:p>
    <w:p w14:paraId="764B7A72" w14:textId="77777777" w:rsidR="00154386" w:rsidRDefault="00154386" w:rsidP="00154386">
      <w:pPr>
        <w:pBdr>
          <w:bottom w:val="single" w:sz="4" w:space="1" w:color="auto"/>
        </w:pBdr>
        <w:rPr>
          <w:rFonts w:ascii="Arial" w:hAnsi="Arial" w:cs="Arial"/>
          <w:sz w:val="24"/>
          <w:szCs w:val="24"/>
        </w:rPr>
      </w:pPr>
    </w:p>
    <w:p w14:paraId="48A54DC4" w14:textId="77777777" w:rsidR="004A1D30" w:rsidRPr="00154386" w:rsidRDefault="004A1D30" w:rsidP="004A1D30">
      <w:pPr>
        <w:spacing w:after="0" w:line="240" w:lineRule="auto"/>
        <w:rPr>
          <w:rFonts w:ascii="Arial" w:eastAsiaTheme="minorEastAsia" w:hAnsi="Arial" w:cs="Arial"/>
          <w:sz w:val="24"/>
          <w:szCs w:val="24"/>
          <w:lang w:eastAsia="nl-BE"/>
        </w:rPr>
      </w:pPr>
    </w:p>
    <w:p w14:paraId="08A536D7" w14:textId="77777777" w:rsidR="00F5592C" w:rsidRPr="00154386" w:rsidRDefault="004A1D30" w:rsidP="00154386">
      <w:pPr>
        <w:jc w:val="both"/>
        <w:rPr>
          <w:rFonts w:ascii="Arial" w:eastAsiaTheme="minorEastAsia" w:hAnsi="Arial" w:cs="Arial"/>
          <w:b/>
          <w:sz w:val="24"/>
          <w:szCs w:val="24"/>
        </w:rPr>
      </w:pPr>
      <w:r>
        <w:rPr>
          <w:rFonts w:ascii="Arial" w:hAnsi="Arial"/>
          <w:b/>
          <w:sz w:val="24"/>
          <w:szCs w:val="24"/>
        </w:rPr>
        <w:t>Description</w:t>
      </w:r>
    </w:p>
    <w:p w14:paraId="45359964" w14:textId="77777777" w:rsidR="00F5592C" w:rsidRPr="00154386" w:rsidRDefault="00154386" w:rsidP="00154386">
      <w:pPr>
        <w:spacing w:after="0" w:line="240" w:lineRule="auto"/>
        <w:jc w:val="both"/>
        <w:rPr>
          <w:rFonts w:ascii="Arial" w:eastAsiaTheme="minorEastAsia" w:hAnsi="Arial" w:cs="Arial"/>
          <w:sz w:val="24"/>
          <w:szCs w:val="24"/>
        </w:rPr>
      </w:pPr>
      <w:r>
        <w:rPr>
          <w:rFonts w:ascii="Arial" w:hAnsi="Arial"/>
          <w:sz w:val="24"/>
          <w:szCs w:val="24"/>
        </w:rPr>
        <w:t>- Cuve à double paroi de forme spiralée, fabriquée en PEHD non recyclé. L’appareil satisfait à la norme EN858-1. Les accessoires internes sont fabriqués en inox ou en polyéthylène.</w:t>
      </w:r>
    </w:p>
    <w:p w14:paraId="344A6F84" w14:textId="77777777" w:rsidR="00F5592C" w:rsidRPr="00154386" w:rsidRDefault="00F5592C" w:rsidP="00154386">
      <w:pPr>
        <w:spacing w:after="0" w:line="240" w:lineRule="auto"/>
        <w:jc w:val="both"/>
        <w:rPr>
          <w:rFonts w:ascii="Arial" w:eastAsiaTheme="minorEastAsia" w:hAnsi="Arial" w:cs="Arial"/>
          <w:sz w:val="24"/>
          <w:szCs w:val="24"/>
        </w:rPr>
      </w:pPr>
      <w:r>
        <w:rPr>
          <w:rFonts w:ascii="Arial" w:hAnsi="Arial"/>
          <w:sz w:val="24"/>
          <w:szCs w:val="24"/>
        </w:rPr>
        <w:t>- Le séparateur de boues est dimensionné selon la norme EN 858-1. Le séparateur est également pourvu d’un obturateur automatique avec bras en inox et d'un flotteur en polyéthylène.</w:t>
      </w:r>
    </w:p>
    <w:p w14:paraId="26A4DACB" w14:textId="77777777" w:rsidR="00DB3D43"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xml:space="preserve">- Les entrées et sorties en PEHD peuvent être raccordées à du PVC. L’appareil est pourvu d’éléments de rehaussement de forme cylindrique sans couvercle d’un diamètre de 615 </w:t>
      </w:r>
      <w:proofErr w:type="spellStart"/>
      <w:r>
        <w:rPr>
          <w:rFonts w:ascii="Arial" w:hAnsi="Arial"/>
          <w:sz w:val="24"/>
          <w:szCs w:val="24"/>
        </w:rPr>
        <w:t>mm.</w:t>
      </w:r>
      <w:proofErr w:type="spellEnd"/>
    </w:p>
    <w:p w14:paraId="1D6A6E4C" w14:textId="77777777" w:rsidR="00DB3D43"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Une partie du séparateur sert pour la collecte de la boue, une autre partie pour la séparation des hydrocarbures.</w:t>
      </w:r>
    </w:p>
    <w:p w14:paraId="17161734" w14:textId="77777777" w:rsidR="00CB623E" w:rsidRPr="00154386" w:rsidRDefault="00CB623E" w:rsidP="00154386">
      <w:pPr>
        <w:spacing w:after="0" w:line="240" w:lineRule="auto"/>
        <w:jc w:val="both"/>
        <w:rPr>
          <w:rFonts w:ascii="Arial" w:eastAsiaTheme="minorEastAsia" w:hAnsi="Arial" w:cs="Arial"/>
          <w:sz w:val="24"/>
          <w:szCs w:val="24"/>
        </w:rPr>
      </w:pPr>
      <w:r>
        <w:rPr>
          <w:rFonts w:ascii="Arial" w:hAnsi="Arial"/>
          <w:sz w:val="24"/>
          <w:szCs w:val="24"/>
        </w:rPr>
        <w:t>- Le séparateur d’huile est muni d’un filtre coalesceur, qui permet de réduire la teneur résiduelle en déchets à moins de 5 mg/l.</w:t>
      </w:r>
    </w:p>
    <w:p w14:paraId="4584E534" w14:textId="77777777" w:rsidR="00EB485F"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La cellule de coalescence en polycarbonate, dans un encadrement en inox AISI 304, présente un grand coefficient de séparation et est facile à démonter. Le séparateur est muni d'un flotteur en PEHD avec un système de mobilité en inox AISI 304 et ne nécessite pas d’intervention manuelle lors de la mise à l’eau. Les hydrocarbures de classe II ont une masse volumique de 0,85. Le filtre coalesceur centralisé permet un meilleur écoulement des hydrocarbures.</w:t>
      </w:r>
    </w:p>
    <w:p w14:paraId="1659E864" w14:textId="77777777" w:rsidR="00D00A7E" w:rsidRPr="00154386" w:rsidRDefault="003616A3" w:rsidP="00154386">
      <w:pPr>
        <w:spacing w:after="0" w:line="240" w:lineRule="auto"/>
        <w:jc w:val="both"/>
        <w:rPr>
          <w:rFonts w:ascii="Arial" w:eastAsiaTheme="minorEastAsia" w:hAnsi="Arial" w:cs="Arial"/>
          <w:sz w:val="24"/>
          <w:szCs w:val="24"/>
        </w:rPr>
      </w:pPr>
      <w:r>
        <w:rPr>
          <w:rFonts w:ascii="Arial" w:hAnsi="Arial"/>
          <w:sz w:val="24"/>
          <w:szCs w:val="24"/>
        </w:rPr>
        <w:t>É</w:t>
      </w:r>
      <w:r w:rsidR="00EB485F">
        <w:rPr>
          <w:rFonts w:ascii="Arial" w:hAnsi="Arial"/>
          <w:sz w:val="24"/>
          <w:szCs w:val="24"/>
        </w:rPr>
        <w:t xml:space="preserve">talonné à 0,85, le flotteur en PEHD assure une fermeture automatique du séparateur et ce, dès que la capacité d’absorption maximale est atteinte. Le système de flotteur assure également la fermeture automatique du canal de by-pass si on choisit cette option. </w:t>
      </w:r>
    </w:p>
    <w:p w14:paraId="1234F868" w14:textId="77777777" w:rsidR="00DB3D43"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Sa position dans le séparateur détermine la capacité maximale, ce qui limite la vidange.</w:t>
      </w:r>
    </w:p>
    <w:p w14:paraId="152A6A7A" w14:textId="77777777" w:rsidR="00DB3D43"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Une imperméabilité est garantie, car le séparateur n’a pas été perforé pour fixer les éléments internes. Un système pour le prélèvement d’échantillons est intégré.</w:t>
      </w:r>
    </w:p>
    <w:p w14:paraId="174382BE" w14:textId="77777777" w:rsidR="00024BC8" w:rsidRPr="00154386" w:rsidRDefault="00024BC8" w:rsidP="00154386">
      <w:pPr>
        <w:spacing w:after="0" w:line="240" w:lineRule="auto"/>
        <w:jc w:val="both"/>
        <w:rPr>
          <w:rFonts w:ascii="Arial" w:eastAsiaTheme="minorEastAsia" w:hAnsi="Arial" w:cs="Arial"/>
          <w:sz w:val="24"/>
          <w:szCs w:val="24"/>
        </w:rPr>
      </w:pPr>
      <w:r>
        <w:rPr>
          <w:rFonts w:ascii="Arial" w:hAnsi="Arial"/>
          <w:sz w:val="24"/>
          <w:szCs w:val="24"/>
        </w:rPr>
        <w:t>- Le séparateur d’hydrocarbures peut être équipé ou non d’une détection de fuites.</w:t>
      </w:r>
    </w:p>
    <w:p w14:paraId="13FB8440" w14:textId="77777777" w:rsidR="00DB49C7" w:rsidRPr="00154386" w:rsidRDefault="00024BC8" w:rsidP="00154386">
      <w:pPr>
        <w:spacing w:after="0" w:line="240" w:lineRule="auto"/>
        <w:jc w:val="both"/>
        <w:rPr>
          <w:rFonts w:ascii="Arial" w:eastAsiaTheme="minorEastAsia" w:hAnsi="Arial" w:cs="Arial"/>
          <w:sz w:val="24"/>
          <w:szCs w:val="24"/>
        </w:rPr>
      </w:pPr>
      <w:r>
        <w:rPr>
          <w:rFonts w:ascii="Arial" w:hAnsi="Arial"/>
          <w:sz w:val="24"/>
          <w:szCs w:val="24"/>
        </w:rPr>
        <w:t>- Le séparateur d’hydrocarbures peut être équipé ou non d’un canal de by-pass.</w:t>
      </w:r>
    </w:p>
    <w:p w14:paraId="330D3AD5" w14:textId="77777777" w:rsidR="00171253"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Le séparateur peut être équipé d’un système d’alarme pour la partie séparateur de boues et / ou pour la partie séparateur d’huile.</w:t>
      </w:r>
    </w:p>
    <w:p w14:paraId="1D96BDF8" w14:textId="77777777" w:rsidR="00DB3D43" w:rsidRPr="00154386" w:rsidRDefault="00DB3D43" w:rsidP="00154386">
      <w:pPr>
        <w:spacing w:after="0" w:line="240" w:lineRule="auto"/>
        <w:jc w:val="both"/>
        <w:rPr>
          <w:rFonts w:ascii="Arial" w:eastAsiaTheme="minorEastAsia" w:hAnsi="Arial" w:cs="Arial"/>
          <w:sz w:val="24"/>
          <w:szCs w:val="24"/>
        </w:rPr>
      </w:pPr>
      <w:r>
        <w:rPr>
          <w:rFonts w:ascii="Arial" w:hAnsi="Arial"/>
          <w:sz w:val="24"/>
          <w:szCs w:val="24"/>
        </w:rPr>
        <w:t>- Satisfait au VLAREM en ce qui concerne les prescriptions en matière de déversement et de dimensionnement et est à double paroi.</w:t>
      </w:r>
    </w:p>
    <w:p w14:paraId="3B029C99" w14:textId="77777777" w:rsidR="004A1D30" w:rsidRDefault="004A1D30" w:rsidP="00154386">
      <w:pPr>
        <w:spacing w:after="0" w:line="240" w:lineRule="auto"/>
        <w:jc w:val="both"/>
        <w:rPr>
          <w:rFonts w:ascii="Arial" w:eastAsiaTheme="minorEastAsia" w:hAnsi="Arial" w:cs="Arial"/>
          <w:sz w:val="24"/>
          <w:szCs w:val="24"/>
          <w:lang w:eastAsia="nl-BE"/>
        </w:rPr>
      </w:pPr>
    </w:p>
    <w:p w14:paraId="6E3E7AB0" w14:textId="77777777" w:rsidR="00154386" w:rsidRPr="00154386" w:rsidRDefault="00154386" w:rsidP="00154386">
      <w:pPr>
        <w:spacing w:after="0" w:line="240" w:lineRule="auto"/>
        <w:jc w:val="both"/>
        <w:rPr>
          <w:rFonts w:ascii="Arial" w:eastAsiaTheme="minorEastAsia" w:hAnsi="Arial" w:cs="Arial"/>
          <w:sz w:val="24"/>
          <w:szCs w:val="24"/>
          <w:lang w:eastAsia="nl-BE"/>
        </w:rPr>
      </w:pPr>
    </w:p>
    <w:p w14:paraId="6DF59B5C" w14:textId="77777777" w:rsidR="00E4015D" w:rsidRDefault="004A1D30" w:rsidP="004A1D30">
      <w:pPr>
        <w:spacing w:after="0" w:line="240" w:lineRule="auto"/>
        <w:rPr>
          <w:rFonts w:ascii="Arial" w:eastAsiaTheme="minorEastAsia" w:hAnsi="Arial" w:cs="Arial"/>
          <w:b/>
          <w:sz w:val="24"/>
          <w:szCs w:val="24"/>
        </w:rPr>
      </w:pPr>
      <w:r>
        <w:rPr>
          <w:rFonts w:ascii="Arial" w:hAnsi="Arial"/>
          <w:b/>
          <w:sz w:val="24"/>
          <w:szCs w:val="24"/>
        </w:rPr>
        <w:t>Résistance</w:t>
      </w:r>
    </w:p>
    <w:p w14:paraId="02560825" w14:textId="77777777" w:rsidR="00154386" w:rsidRPr="00154386" w:rsidRDefault="00154386" w:rsidP="004A1D30">
      <w:pPr>
        <w:spacing w:after="0" w:line="240" w:lineRule="auto"/>
        <w:rPr>
          <w:rFonts w:ascii="Arial" w:eastAsiaTheme="minorEastAsia" w:hAnsi="Arial" w:cs="Arial"/>
          <w:b/>
          <w:sz w:val="24"/>
          <w:szCs w:val="24"/>
          <w:lang w:eastAsia="nl-BE"/>
        </w:rPr>
      </w:pPr>
    </w:p>
    <w:p w14:paraId="39832053" w14:textId="77777777" w:rsidR="00E4015D" w:rsidRPr="00154386" w:rsidRDefault="00E4015D"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Résistant aux UV</w:t>
      </w:r>
    </w:p>
    <w:p w14:paraId="767BE26C" w14:textId="77777777" w:rsidR="00E4015D" w:rsidRPr="00154386" w:rsidRDefault="00E4015D"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Résistant au gel, aux sels de déneigement et aux produits alcalins</w:t>
      </w:r>
    </w:p>
    <w:p w14:paraId="09AA4B04" w14:textId="77777777" w:rsidR="00E4015D" w:rsidRPr="00154386" w:rsidRDefault="00E4015D"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lastRenderedPageBreak/>
        <w:t>Extrêmement résistant aux substances chimiques, aux graisses et aux détergents</w:t>
      </w:r>
    </w:p>
    <w:p w14:paraId="650C7CA4" w14:textId="77777777" w:rsidR="00E4015D" w:rsidRPr="00154386" w:rsidRDefault="00E4015D"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Résistant aux températures jusque 60°C</w:t>
      </w:r>
    </w:p>
    <w:p w14:paraId="2B169584" w14:textId="77777777" w:rsidR="00E4015D" w:rsidRPr="00154386" w:rsidRDefault="00E4015D"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Parfaitement résistant à la corrosion</w:t>
      </w:r>
    </w:p>
    <w:p w14:paraId="1C72BF0C" w14:textId="77777777" w:rsidR="00E4015D" w:rsidRPr="00154386" w:rsidRDefault="00E4015D"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Résistant aux actions microbiennes</w:t>
      </w:r>
    </w:p>
    <w:p w14:paraId="7917FDE2" w14:textId="77777777" w:rsidR="00231F09" w:rsidRPr="00154386" w:rsidRDefault="00231F09" w:rsidP="00E4015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Parfaitement étanche aux liquides</w:t>
      </w:r>
    </w:p>
    <w:p w14:paraId="2873AEBB" w14:textId="77777777" w:rsidR="003A5513" w:rsidRPr="00154386" w:rsidRDefault="003A5513" w:rsidP="003A5513">
      <w:pPr>
        <w:spacing w:after="0" w:line="240" w:lineRule="auto"/>
        <w:rPr>
          <w:rFonts w:ascii="Arial" w:eastAsiaTheme="minorEastAsia" w:hAnsi="Arial" w:cs="Arial"/>
          <w:sz w:val="24"/>
          <w:szCs w:val="24"/>
          <w:lang w:eastAsia="nl-BE"/>
        </w:rPr>
      </w:pPr>
    </w:p>
    <w:p w14:paraId="7902F780" w14:textId="77777777" w:rsidR="003A5513" w:rsidRPr="00154386" w:rsidRDefault="003A5513" w:rsidP="003A5513">
      <w:pPr>
        <w:spacing w:after="0" w:line="240" w:lineRule="auto"/>
        <w:rPr>
          <w:rFonts w:ascii="Arial" w:eastAsiaTheme="minorEastAsia" w:hAnsi="Arial" w:cs="Arial"/>
          <w:sz w:val="24"/>
          <w:szCs w:val="24"/>
          <w:lang w:eastAsia="nl-BE"/>
        </w:rPr>
      </w:pPr>
    </w:p>
    <w:p w14:paraId="01DDD2DA" w14:textId="77777777" w:rsidR="003A5513" w:rsidRPr="00154386" w:rsidRDefault="003A5513" w:rsidP="003A5513">
      <w:pPr>
        <w:spacing w:after="0" w:line="240" w:lineRule="auto"/>
        <w:rPr>
          <w:rFonts w:ascii="Arial" w:eastAsiaTheme="minorEastAsia" w:hAnsi="Arial" w:cs="Arial"/>
          <w:b/>
          <w:sz w:val="24"/>
          <w:szCs w:val="24"/>
        </w:rPr>
      </w:pPr>
      <w:r>
        <w:rPr>
          <w:rFonts w:ascii="Arial" w:hAnsi="Arial"/>
          <w:b/>
          <w:sz w:val="24"/>
          <w:szCs w:val="24"/>
        </w:rPr>
        <w:t>Dimensions : dépendent du dimensionnement du séparateur</w:t>
      </w:r>
    </w:p>
    <w:p w14:paraId="35EEB7A8" w14:textId="77777777" w:rsidR="003A5513" w:rsidRPr="00154386" w:rsidRDefault="003A5513" w:rsidP="003A5513">
      <w:pPr>
        <w:spacing w:after="0" w:line="240" w:lineRule="auto"/>
        <w:rPr>
          <w:rFonts w:ascii="Arial" w:eastAsiaTheme="minorEastAsia" w:hAnsi="Arial" w:cs="Arial"/>
          <w:sz w:val="24"/>
          <w:szCs w:val="24"/>
          <w:lang w:eastAsia="nl-BE"/>
        </w:rPr>
      </w:pPr>
    </w:p>
    <w:p w14:paraId="2208864C"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Débit : x litres par seconde</w:t>
      </w:r>
    </w:p>
    <w:p w14:paraId="3C14C90F"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Longueur totale : x mm</w:t>
      </w:r>
    </w:p>
    <w:p w14:paraId="047207D0"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Longueur : x mm</w:t>
      </w:r>
    </w:p>
    <w:p w14:paraId="25A2755B"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Largeur : x mm</w:t>
      </w:r>
    </w:p>
    <w:p w14:paraId="647CDFC6"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Hauteur totale : x mm</w:t>
      </w:r>
    </w:p>
    <w:p w14:paraId="25A1A638" w14:textId="77777777" w:rsidR="003A5513" w:rsidRPr="00154386" w:rsidRDefault="003A5513"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Diamètre entrée : x mm</w:t>
      </w:r>
    </w:p>
    <w:p w14:paraId="45726C6A"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Diamètre sortie : x mm</w:t>
      </w:r>
    </w:p>
    <w:p w14:paraId="51B5EF94"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Accès libre : x mm</w:t>
      </w:r>
    </w:p>
    <w:p w14:paraId="4BB4EF22"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Diamètre extérieur : x mm</w:t>
      </w:r>
    </w:p>
    <w:p w14:paraId="7746DA8B" w14:textId="31B79BDD"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 xml:space="preserve">Poids : x </w:t>
      </w:r>
      <w:r w:rsidR="00885D8A">
        <w:rPr>
          <w:rFonts w:ascii="Arial" w:hAnsi="Arial"/>
          <w:sz w:val="24"/>
          <w:szCs w:val="24"/>
        </w:rPr>
        <w:t>k</w:t>
      </w:r>
      <w:r>
        <w:rPr>
          <w:rFonts w:ascii="Arial" w:hAnsi="Arial"/>
          <w:sz w:val="24"/>
          <w:szCs w:val="24"/>
        </w:rPr>
        <w:t>g</w:t>
      </w:r>
    </w:p>
    <w:p w14:paraId="743AF59D" w14:textId="77777777" w:rsidR="003A5513"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Volume du séparateur : x l.</w:t>
      </w:r>
    </w:p>
    <w:p w14:paraId="14ED7043" w14:textId="77777777" w:rsidR="00DF49BA" w:rsidRPr="00154386" w:rsidRDefault="007E4D75" w:rsidP="003A5513">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Volume du séparateur de boues : x l.</w:t>
      </w:r>
    </w:p>
    <w:p w14:paraId="73F8874A" w14:textId="77777777" w:rsidR="003E74F3" w:rsidRPr="00154386" w:rsidRDefault="003E74F3" w:rsidP="003E74F3">
      <w:pPr>
        <w:spacing w:after="0" w:line="240" w:lineRule="auto"/>
        <w:rPr>
          <w:rFonts w:ascii="Arial" w:eastAsiaTheme="minorEastAsia" w:hAnsi="Arial" w:cs="Arial"/>
          <w:sz w:val="24"/>
          <w:szCs w:val="24"/>
          <w:lang w:eastAsia="nl-BE"/>
        </w:rPr>
      </w:pPr>
    </w:p>
    <w:p w14:paraId="206B10A1" w14:textId="77777777" w:rsidR="00A10AAD" w:rsidRPr="00154386" w:rsidRDefault="00A10AAD" w:rsidP="003E74F3">
      <w:pPr>
        <w:spacing w:after="0" w:line="240" w:lineRule="auto"/>
        <w:rPr>
          <w:rFonts w:ascii="Arial" w:eastAsiaTheme="minorEastAsia" w:hAnsi="Arial" w:cs="Arial"/>
          <w:sz w:val="24"/>
          <w:szCs w:val="24"/>
        </w:rPr>
      </w:pPr>
      <w:r>
        <w:rPr>
          <w:rFonts w:ascii="Arial" w:hAnsi="Arial"/>
          <w:sz w:val="24"/>
          <w:szCs w:val="24"/>
        </w:rPr>
        <w:t>Valeur x : voir le tableau ci-dessous.</w:t>
      </w:r>
    </w:p>
    <w:p w14:paraId="4669B5F2" w14:textId="77777777" w:rsidR="00A10AAD" w:rsidRPr="00154386" w:rsidRDefault="00A10AAD" w:rsidP="003E74F3">
      <w:pPr>
        <w:spacing w:after="0" w:line="240" w:lineRule="auto"/>
        <w:rPr>
          <w:rFonts w:ascii="Arial" w:eastAsiaTheme="minorEastAsia" w:hAnsi="Arial" w:cs="Arial"/>
          <w:sz w:val="24"/>
          <w:szCs w:val="24"/>
          <w:lang w:eastAsia="nl-BE"/>
        </w:rPr>
      </w:pPr>
    </w:p>
    <w:p w14:paraId="6075ED5D" w14:textId="77777777" w:rsidR="00A10AAD" w:rsidRPr="00154386" w:rsidRDefault="00A10AAD" w:rsidP="003E74F3">
      <w:pPr>
        <w:spacing w:after="0" w:line="240" w:lineRule="auto"/>
        <w:rPr>
          <w:rFonts w:ascii="Arial" w:eastAsiaTheme="minorEastAsia" w:hAnsi="Arial" w:cs="Arial"/>
          <w:sz w:val="24"/>
          <w:szCs w:val="24"/>
          <w:lang w:eastAsia="nl-BE"/>
        </w:rPr>
      </w:pPr>
    </w:p>
    <w:p w14:paraId="271FEA92" w14:textId="77777777" w:rsidR="003E74F3" w:rsidRDefault="003E74F3" w:rsidP="003E74F3">
      <w:pPr>
        <w:spacing w:after="0" w:line="240" w:lineRule="auto"/>
        <w:rPr>
          <w:rFonts w:ascii="Arial" w:eastAsiaTheme="minorEastAsia" w:hAnsi="Arial" w:cs="Arial"/>
          <w:b/>
          <w:sz w:val="24"/>
          <w:szCs w:val="24"/>
        </w:rPr>
      </w:pPr>
      <w:r>
        <w:rPr>
          <w:rFonts w:ascii="Arial" w:hAnsi="Arial"/>
          <w:b/>
          <w:sz w:val="24"/>
          <w:szCs w:val="24"/>
        </w:rPr>
        <w:t>Débits disponibles</w:t>
      </w:r>
    </w:p>
    <w:p w14:paraId="0E769817" w14:textId="77777777" w:rsidR="00154386" w:rsidRDefault="00154386" w:rsidP="003E74F3">
      <w:pPr>
        <w:spacing w:after="0" w:line="240" w:lineRule="auto"/>
        <w:rPr>
          <w:rFonts w:ascii="Arial" w:eastAsiaTheme="minorEastAsia" w:hAnsi="Arial" w:cs="Arial"/>
          <w:b/>
          <w:sz w:val="24"/>
          <w:szCs w:val="24"/>
          <w:lang w:eastAsia="nl-BE"/>
        </w:rPr>
      </w:pPr>
    </w:p>
    <w:tbl>
      <w:tblPr>
        <w:tblStyle w:val="Grilledutableau"/>
        <w:tblW w:w="0" w:type="auto"/>
        <w:jc w:val="center"/>
        <w:tblLook w:val="04A0" w:firstRow="1" w:lastRow="0" w:firstColumn="1" w:lastColumn="0" w:noHBand="0" w:noVBand="1"/>
      </w:tblPr>
      <w:tblGrid>
        <w:gridCol w:w="1848"/>
        <w:gridCol w:w="1837"/>
        <w:gridCol w:w="1837"/>
        <w:gridCol w:w="1837"/>
        <w:gridCol w:w="1703"/>
      </w:tblGrid>
      <w:tr w:rsidR="00154386" w:rsidRPr="00154386" w14:paraId="71935EC8" w14:textId="77777777" w:rsidTr="00154386">
        <w:trPr>
          <w:jc w:val="center"/>
        </w:trPr>
        <w:tc>
          <w:tcPr>
            <w:tcW w:w="1848" w:type="dxa"/>
          </w:tcPr>
          <w:p w14:paraId="76B574E8"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3 l/S</w:t>
            </w:r>
          </w:p>
        </w:tc>
        <w:tc>
          <w:tcPr>
            <w:tcW w:w="1837" w:type="dxa"/>
          </w:tcPr>
          <w:p w14:paraId="2A52DE38"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25 l/S</w:t>
            </w:r>
          </w:p>
        </w:tc>
        <w:tc>
          <w:tcPr>
            <w:tcW w:w="1837" w:type="dxa"/>
          </w:tcPr>
          <w:p w14:paraId="4823E096"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60 l/S</w:t>
            </w:r>
          </w:p>
        </w:tc>
        <w:tc>
          <w:tcPr>
            <w:tcW w:w="1837" w:type="dxa"/>
          </w:tcPr>
          <w:p w14:paraId="236BB6F5"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110 l/S</w:t>
            </w:r>
          </w:p>
        </w:tc>
        <w:tc>
          <w:tcPr>
            <w:tcW w:w="1703" w:type="dxa"/>
          </w:tcPr>
          <w:p w14:paraId="76568E05"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160 l/S</w:t>
            </w:r>
          </w:p>
        </w:tc>
      </w:tr>
      <w:tr w:rsidR="00154386" w:rsidRPr="00154386" w14:paraId="495CFBF5" w14:textId="77777777" w:rsidTr="00154386">
        <w:trPr>
          <w:jc w:val="center"/>
        </w:trPr>
        <w:tc>
          <w:tcPr>
            <w:tcW w:w="1848" w:type="dxa"/>
          </w:tcPr>
          <w:p w14:paraId="3DA8205C"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6 l/S</w:t>
            </w:r>
          </w:p>
        </w:tc>
        <w:tc>
          <w:tcPr>
            <w:tcW w:w="1837" w:type="dxa"/>
          </w:tcPr>
          <w:p w14:paraId="75EE2D14"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30 l/S</w:t>
            </w:r>
          </w:p>
        </w:tc>
        <w:tc>
          <w:tcPr>
            <w:tcW w:w="1837" w:type="dxa"/>
          </w:tcPr>
          <w:p w14:paraId="4D44594B"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70 l/S</w:t>
            </w:r>
          </w:p>
        </w:tc>
        <w:tc>
          <w:tcPr>
            <w:tcW w:w="1837" w:type="dxa"/>
          </w:tcPr>
          <w:p w14:paraId="522263FE"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120 l/S</w:t>
            </w:r>
          </w:p>
        </w:tc>
        <w:tc>
          <w:tcPr>
            <w:tcW w:w="1703" w:type="dxa"/>
          </w:tcPr>
          <w:p w14:paraId="0C62E7A2"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170 l/S</w:t>
            </w:r>
          </w:p>
        </w:tc>
      </w:tr>
      <w:tr w:rsidR="00154386" w:rsidRPr="00154386" w14:paraId="17585C19" w14:textId="77777777" w:rsidTr="00154386">
        <w:trPr>
          <w:jc w:val="center"/>
        </w:trPr>
        <w:tc>
          <w:tcPr>
            <w:tcW w:w="1848" w:type="dxa"/>
          </w:tcPr>
          <w:p w14:paraId="0F3AB222"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10 l/S</w:t>
            </w:r>
          </w:p>
        </w:tc>
        <w:tc>
          <w:tcPr>
            <w:tcW w:w="1837" w:type="dxa"/>
          </w:tcPr>
          <w:p w14:paraId="59D08ACE"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35 l/S</w:t>
            </w:r>
          </w:p>
        </w:tc>
        <w:tc>
          <w:tcPr>
            <w:tcW w:w="1837" w:type="dxa"/>
          </w:tcPr>
          <w:p w14:paraId="3069F37A"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80 l/S</w:t>
            </w:r>
          </w:p>
        </w:tc>
        <w:tc>
          <w:tcPr>
            <w:tcW w:w="1837" w:type="dxa"/>
          </w:tcPr>
          <w:p w14:paraId="6BAE65B6"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130 l/S</w:t>
            </w:r>
          </w:p>
        </w:tc>
        <w:tc>
          <w:tcPr>
            <w:tcW w:w="1703" w:type="dxa"/>
          </w:tcPr>
          <w:p w14:paraId="1C80E185"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180 l/S</w:t>
            </w:r>
          </w:p>
        </w:tc>
      </w:tr>
      <w:tr w:rsidR="00154386" w:rsidRPr="00154386" w14:paraId="75053482" w14:textId="77777777" w:rsidTr="00154386">
        <w:trPr>
          <w:jc w:val="center"/>
        </w:trPr>
        <w:tc>
          <w:tcPr>
            <w:tcW w:w="1848" w:type="dxa"/>
          </w:tcPr>
          <w:p w14:paraId="33D1E813"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15 l/S</w:t>
            </w:r>
          </w:p>
        </w:tc>
        <w:tc>
          <w:tcPr>
            <w:tcW w:w="1837" w:type="dxa"/>
          </w:tcPr>
          <w:p w14:paraId="16C0F533"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40 l/S</w:t>
            </w:r>
          </w:p>
        </w:tc>
        <w:tc>
          <w:tcPr>
            <w:tcW w:w="1837" w:type="dxa"/>
          </w:tcPr>
          <w:p w14:paraId="038B6645"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90 l/S</w:t>
            </w:r>
          </w:p>
        </w:tc>
        <w:tc>
          <w:tcPr>
            <w:tcW w:w="1837" w:type="dxa"/>
          </w:tcPr>
          <w:p w14:paraId="15DF1626"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140 l/S</w:t>
            </w:r>
          </w:p>
        </w:tc>
        <w:tc>
          <w:tcPr>
            <w:tcW w:w="1703" w:type="dxa"/>
          </w:tcPr>
          <w:p w14:paraId="2A61624F"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190 l/S</w:t>
            </w:r>
          </w:p>
        </w:tc>
      </w:tr>
      <w:tr w:rsidR="00154386" w:rsidRPr="00154386" w14:paraId="3DC4C250" w14:textId="77777777" w:rsidTr="00154386">
        <w:trPr>
          <w:jc w:val="center"/>
        </w:trPr>
        <w:tc>
          <w:tcPr>
            <w:tcW w:w="1848" w:type="dxa"/>
          </w:tcPr>
          <w:p w14:paraId="63BC47D3"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20 l/S</w:t>
            </w:r>
          </w:p>
        </w:tc>
        <w:tc>
          <w:tcPr>
            <w:tcW w:w="1837" w:type="dxa"/>
          </w:tcPr>
          <w:p w14:paraId="491C595F"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50 l/S</w:t>
            </w:r>
          </w:p>
        </w:tc>
        <w:tc>
          <w:tcPr>
            <w:tcW w:w="1837" w:type="dxa"/>
          </w:tcPr>
          <w:p w14:paraId="5F9D64AE"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100 l/S</w:t>
            </w:r>
          </w:p>
        </w:tc>
        <w:tc>
          <w:tcPr>
            <w:tcW w:w="1837" w:type="dxa"/>
          </w:tcPr>
          <w:p w14:paraId="342C58E1"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150 l/S</w:t>
            </w:r>
          </w:p>
        </w:tc>
        <w:tc>
          <w:tcPr>
            <w:tcW w:w="1703" w:type="dxa"/>
          </w:tcPr>
          <w:p w14:paraId="245A7845" w14:textId="77777777" w:rsidR="00154386" w:rsidRPr="00154386" w:rsidRDefault="00154386" w:rsidP="00154386">
            <w:pPr>
              <w:jc w:val="center"/>
              <w:rPr>
                <w:rFonts w:ascii="Arial" w:eastAsiaTheme="minorEastAsia" w:hAnsi="Arial" w:cs="Arial"/>
                <w:sz w:val="24"/>
                <w:szCs w:val="24"/>
              </w:rPr>
            </w:pPr>
            <w:r>
              <w:rPr>
                <w:rFonts w:ascii="Arial" w:hAnsi="Arial"/>
                <w:sz w:val="24"/>
                <w:szCs w:val="24"/>
              </w:rPr>
              <w:t>200 l/S</w:t>
            </w:r>
          </w:p>
        </w:tc>
      </w:tr>
    </w:tbl>
    <w:p w14:paraId="405F4956" w14:textId="77777777" w:rsidR="00154386" w:rsidRPr="00154386" w:rsidRDefault="00154386" w:rsidP="003E74F3">
      <w:pPr>
        <w:spacing w:after="0" w:line="240" w:lineRule="auto"/>
        <w:rPr>
          <w:rFonts w:ascii="Arial" w:eastAsiaTheme="minorEastAsia" w:hAnsi="Arial" w:cs="Arial"/>
          <w:b/>
          <w:sz w:val="24"/>
          <w:szCs w:val="24"/>
          <w:lang w:eastAsia="nl-BE"/>
        </w:rPr>
      </w:pPr>
    </w:p>
    <w:p w14:paraId="228D2CA7" w14:textId="77777777" w:rsidR="00A10AAD" w:rsidRPr="00154386" w:rsidRDefault="00A10AAD" w:rsidP="003A5513">
      <w:pPr>
        <w:spacing w:after="0" w:line="240" w:lineRule="auto"/>
        <w:rPr>
          <w:rFonts w:ascii="Arial" w:eastAsiaTheme="minorEastAsia" w:hAnsi="Arial" w:cs="Arial"/>
          <w:sz w:val="24"/>
          <w:szCs w:val="24"/>
          <w:lang w:eastAsia="nl-BE"/>
        </w:rPr>
      </w:pPr>
    </w:p>
    <w:p w14:paraId="1CF6D64A" w14:textId="77777777" w:rsidR="006D755A" w:rsidRPr="00154386" w:rsidRDefault="00A10AAD" w:rsidP="003A5513">
      <w:pPr>
        <w:spacing w:after="0" w:line="240" w:lineRule="auto"/>
        <w:rPr>
          <w:rFonts w:ascii="Arial" w:eastAsiaTheme="minorEastAsia" w:hAnsi="Arial" w:cs="Arial"/>
          <w:b/>
          <w:sz w:val="24"/>
          <w:szCs w:val="24"/>
        </w:rPr>
      </w:pPr>
      <w:r>
        <w:rPr>
          <w:rFonts w:ascii="Arial" w:hAnsi="Arial"/>
          <w:b/>
          <w:sz w:val="24"/>
          <w:szCs w:val="24"/>
        </w:rPr>
        <w:t>Dimensions</w:t>
      </w:r>
    </w:p>
    <w:p w14:paraId="4487A3A2" w14:textId="77777777" w:rsidR="006D755A" w:rsidRPr="00154386" w:rsidRDefault="006D755A" w:rsidP="003A5513">
      <w:pPr>
        <w:spacing w:after="0" w:line="240" w:lineRule="auto"/>
        <w:rPr>
          <w:rFonts w:ascii="Arial" w:eastAsiaTheme="minorEastAsia" w:hAnsi="Arial" w:cs="Arial"/>
          <w:sz w:val="24"/>
          <w:szCs w:val="24"/>
          <w:lang w:eastAsia="nl-BE"/>
        </w:rPr>
      </w:pPr>
    </w:p>
    <w:p w14:paraId="229D5405" w14:textId="77777777" w:rsidR="006D755A" w:rsidRPr="00154386" w:rsidRDefault="006D755A" w:rsidP="00154386">
      <w:pPr>
        <w:pStyle w:val="Paragraphedeliste"/>
        <w:numPr>
          <w:ilvl w:val="0"/>
          <w:numId w:val="5"/>
        </w:numPr>
        <w:spacing w:after="0" w:line="240" w:lineRule="auto"/>
        <w:rPr>
          <w:rFonts w:ascii="Arial" w:eastAsiaTheme="minorEastAsia" w:hAnsi="Arial" w:cs="Arial"/>
          <w:b/>
          <w:i/>
          <w:sz w:val="24"/>
          <w:szCs w:val="24"/>
        </w:rPr>
      </w:pPr>
      <w:r>
        <w:rPr>
          <w:rFonts w:ascii="Arial" w:hAnsi="Arial"/>
          <w:b/>
          <w:i/>
          <w:sz w:val="24"/>
          <w:szCs w:val="24"/>
        </w:rPr>
        <w:t>Séparateurs sans by-pass</w:t>
      </w:r>
    </w:p>
    <w:p w14:paraId="08AD1950" w14:textId="77777777" w:rsidR="006D755A" w:rsidRPr="00154386" w:rsidRDefault="006D755A" w:rsidP="006D755A">
      <w:pPr>
        <w:pStyle w:val="Paragraphedeliste"/>
        <w:spacing w:after="0" w:line="240" w:lineRule="auto"/>
        <w:ind w:left="1065"/>
        <w:rPr>
          <w:rFonts w:ascii="Arial" w:eastAsiaTheme="minorEastAsia" w:hAnsi="Arial" w:cs="Arial"/>
          <w:sz w:val="24"/>
          <w:szCs w:val="24"/>
          <w:lang w:eastAsia="nl-BE"/>
        </w:rPr>
      </w:pPr>
    </w:p>
    <w:p w14:paraId="73B0CF33" w14:textId="77777777" w:rsidR="00A10AAD" w:rsidRPr="00154386" w:rsidRDefault="006D755A" w:rsidP="006D755A">
      <w:pPr>
        <w:spacing w:after="0" w:line="240" w:lineRule="auto"/>
        <w:ind w:left="705"/>
        <w:rPr>
          <w:rFonts w:ascii="Arial" w:eastAsiaTheme="minorEastAsia" w:hAnsi="Arial" w:cs="Arial"/>
          <w:sz w:val="24"/>
          <w:szCs w:val="24"/>
        </w:rPr>
      </w:pPr>
      <w:r>
        <w:rPr>
          <w:rFonts w:ascii="Arial" w:hAnsi="Arial"/>
          <w:noProof/>
          <w:sz w:val="24"/>
          <w:szCs w:val="24"/>
        </w:rPr>
        <w:lastRenderedPageBreak/>
        <w:drawing>
          <wp:inline distT="0" distB="0" distL="0" distR="0" wp14:anchorId="258419E9" wp14:editId="57E2D19D">
            <wp:extent cx="4564380" cy="3470651"/>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881" cy="3477115"/>
                    </a:xfrm>
                    <a:prstGeom prst="rect">
                      <a:avLst/>
                    </a:prstGeom>
                  </pic:spPr>
                </pic:pic>
              </a:graphicData>
            </a:graphic>
          </wp:inline>
        </w:drawing>
      </w:r>
    </w:p>
    <w:p w14:paraId="6109E01F" w14:textId="77777777" w:rsidR="006D755A" w:rsidRPr="00154386" w:rsidRDefault="006D755A" w:rsidP="006D755A">
      <w:pPr>
        <w:spacing w:after="0" w:line="240" w:lineRule="auto"/>
        <w:ind w:left="705"/>
        <w:rPr>
          <w:rFonts w:ascii="Arial" w:eastAsiaTheme="minorEastAsia" w:hAnsi="Arial" w:cs="Arial"/>
          <w:sz w:val="24"/>
          <w:szCs w:val="24"/>
          <w:lang w:eastAsia="nl-BE"/>
        </w:rPr>
      </w:pPr>
    </w:p>
    <w:p w14:paraId="52E7E432" w14:textId="77777777" w:rsidR="006D755A" w:rsidRPr="00154386" w:rsidRDefault="006D755A" w:rsidP="006D755A">
      <w:pPr>
        <w:spacing w:after="0" w:line="240" w:lineRule="auto"/>
        <w:ind w:left="705"/>
        <w:rPr>
          <w:rFonts w:ascii="Arial" w:eastAsiaTheme="minorEastAsia" w:hAnsi="Arial" w:cs="Arial"/>
          <w:sz w:val="24"/>
          <w:szCs w:val="24"/>
          <w:lang w:eastAsia="nl-BE"/>
        </w:rPr>
      </w:pPr>
    </w:p>
    <w:p w14:paraId="252A3153" w14:textId="77777777" w:rsidR="006D755A" w:rsidRPr="00154386" w:rsidRDefault="006D755A" w:rsidP="00154386">
      <w:pPr>
        <w:pStyle w:val="Paragraphedeliste"/>
        <w:numPr>
          <w:ilvl w:val="0"/>
          <w:numId w:val="5"/>
        </w:numPr>
        <w:spacing w:after="0" w:line="240" w:lineRule="auto"/>
        <w:rPr>
          <w:rFonts w:ascii="Arial" w:eastAsiaTheme="minorEastAsia" w:hAnsi="Arial" w:cs="Arial"/>
          <w:b/>
          <w:i/>
          <w:sz w:val="24"/>
          <w:szCs w:val="24"/>
        </w:rPr>
      </w:pPr>
      <w:r>
        <w:rPr>
          <w:rFonts w:ascii="Arial" w:hAnsi="Arial"/>
          <w:b/>
          <w:i/>
          <w:sz w:val="24"/>
          <w:szCs w:val="24"/>
        </w:rPr>
        <w:t>Séparateurs avec by-pass</w:t>
      </w:r>
    </w:p>
    <w:p w14:paraId="5EB30ADA" w14:textId="77777777" w:rsidR="00A10AAD" w:rsidRPr="00154386" w:rsidRDefault="00A10AAD" w:rsidP="003A5513">
      <w:pPr>
        <w:spacing w:after="0" w:line="240" w:lineRule="auto"/>
        <w:rPr>
          <w:rFonts w:ascii="Arial" w:eastAsiaTheme="minorEastAsia" w:hAnsi="Arial" w:cs="Arial"/>
          <w:sz w:val="24"/>
          <w:szCs w:val="24"/>
          <w:lang w:eastAsia="nl-BE"/>
        </w:rPr>
      </w:pPr>
    </w:p>
    <w:p w14:paraId="15B434E6" w14:textId="77777777" w:rsidR="006D755A" w:rsidRPr="00154386" w:rsidRDefault="00773D22" w:rsidP="006D755A">
      <w:pPr>
        <w:spacing w:after="0" w:line="240" w:lineRule="auto"/>
        <w:ind w:left="705"/>
        <w:rPr>
          <w:rFonts w:ascii="Arial" w:eastAsiaTheme="minorEastAsia" w:hAnsi="Arial" w:cs="Arial"/>
          <w:sz w:val="24"/>
          <w:szCs w:val="24"/>
        </w:rPr>
      </w:pPr>
      <w:r>
        <w:rPr>
          <w:rFonts w:ascii="Arial" w:hAnsi="Arial"/>
          <w:noProof/>
          <w:sz w:val="24"/>
          <w:szCs w:val="24"/>
        </w:rPr>
        <w:drawing>
          <wp:inline distT="0" distB="0" distL="0" distR="0" wp14:anchorId="3390694D" wp14:editId="46246CB7">
            <wp:extent cx="5038725" cy="38957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8725" cy="3895725"/>
                    </a:xfrm>
                    <a:prstGeom prst="rect">
                      <a:avLst/>
                    </a:prstGeom>
                  </pic:spPr>
                </pic:pic>
              </a:graphicData>
            </a:graphic>
          </wp:inline>
        </w:drawing>
      </w:r>
    </w:p>
    <w:p w14:paraId="3D5E1E04" w14:textId="77777777" w:rsidR="00A10AAD" w:rsidRPr="00154386" w:rsidRDefault="00A10AAD" w:rsidP="003A5513">
      <w:pPr>
        <w:spacing w:after="0" w:line="240" w:lineRule="auto"/>
        <w:rPr>
          <w:rFonts w:ascii="Arial" w:eastAsiaTheme="minorEastAsia" w:hAnsi="Arial" w:cs="Arial"/>
          <w:sz w:val="24"/>
          <w:szCs w:val="24"/>
          <w:lang w:eastAsia="nl-BE"/>
        </w:rPr>
      </w:pPr>
    </w:p>
    <w:p w14:paraId="5EB25DB6" w14:textId="77777777" w:rsidR="003A5513" w:rsidRPr="00154386" w:rsidRDefault="003A5513" w:rsidP="003A5513">
      <w:pPr>
        <w:spacing w:after="0" w:line="240" w:lineRule="auto"/>
        <w:rPr>
          <w:rFonts w:ascii="Arial" w:eastAsiaTheme="minorEastAsia" w:hAnsi="Arial" w:cs="Arial"/>
          <w:b/>
          <w:sz w:val="24"/>
          <w:szCs w:val="24"/>
        </w:rPr>
      </w:pPr>
      <w:r>
        <w:rPr>
          <w:rFonts w:ascii="Arial" w:hAnsi="Arial"/>
          <w:b/>
          <w:sz w:val="24"/>
          <w:szCs w:val="24"/>
        </w:rPr>
        <w:t>Accessoires</w:t>
      </w:r>
    </w:p>
    <w:p w14:paraId="7BC1FC49" w14:textId="77777777" w:rsidR="003A5513" w:rsidRPr="00154386" w:rsidRDefault="003A5513" w:rsidP="003A5513">
      <w:pPr>
        <w:spacing w:after="0" w:line="240" w:lineRule="auto"/>
        <w:rPr>
          <w:rFonts w:ascii="Arial" w:eastAsiaTheme="minorEastAsia" w:hAnsi="Arial" w:cs="Arial"/>
          <w:sz w:val="24"/>
          <w:szCs w:val="24"/>
          <w:lang w:eastAsia="nl-BE"/>
        </w:rPr>
      </w:pPr>
    </w:p>
    <w:p w14:paraId="5BF86F4F" w14:textId="77777777" w:rsidR="004B7E66" w:rsidRPr="00154386" w:rsidRDefault="004B7E66" w:rsidP="002862CD">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lastRenderedPageBreak/>
        <w:t>Couvercle en PEHD parfaitement étanche aux liquides de la classe de résistance A15 kN. Poids : 10 kg.</w:t>
      </w:r>
    </w:p>
    <w:p w14:paraId="64D30E07" w14:textId="21855E9D" w:rsidR="004B7E66" w:rsidRPr="00154386" w:rsidRDefault="00154386" w:rsidP="004B7E66">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 xml:space="preserve">Couvercle en fonte de la classe de charge D400 kN. Poids : 62 </w:t>
      </w:r>
      <w:r w:rsidR="00885D8A">
        <w:rPr>
          <w:rFonts w:ascii="Arial" w:hAnsi="Arial"/>
          <w:sz w:val="24"/>
          <w:szCs w:val="24"/>
        </w:rPr>
        <w:t>k</w:t>
      </w:r>
      <w:r>
        <w:rPr>
          <w:rFonts w:ascii="Arial" w:hAnsi="Arial"/>
          <w:sz w:val="24"/>
          <w:szCs w:val="24"/>
        </w:rPr>
        <w:t xml:space="preserve">g. Ouverture de diamètre 610 </w:t>
      </w:r>
      <w:proofErr w:type="spellStart"/>
      <w:r>
        <w:rPr>
          <w:rFonts w:ascii="Arial" w:hAnsi="Arial"/>
          <w:sz w:val="24"/>
          <w:szCs w:val="24"/>
        </w:rPr>
        <w:t>mm.</w:t>
      </w:r>
      <w:proofErr w:type="spellEnd"/>
      <w:r>
        <w:rPr>
          <w:rFonts w:ascii="Arial" w:hAnsi="Arial"/>
          <w:sz w:val="24"/>
          <w:szCs w:val="24"/>
        </w:rPr>
        <w:t xml:space="preserve"> Base de 850 x 850 </w:t>
      </w:r>
      <w:proofErr w:type="spellStart"/>
      <w:r>
        <w:rPr>
          <w:rFonts w:ascii="Arial" w:hAnsi="Arial"/>
          <w:sz w:val="24"/>
          <w:szCs w:val="24"/>
        </w:rPr>
        <w:t>mm.</w:t>
      </w:r>
      <w:proofErr w:type="spellEnd"/>
      <w:r>
        <w:rPr>
          <w:rFonts w:ascii="Arial" w:hAnsi="Arial"/>
          <w:sz w:val="24"/>
          <w:szCs w:val="24"/>
        </w:rPr>
        <w:t xml:space="preserve"> Hauteur : 100 </w:t>
      </w:r>
      <w:proofErr w:type="spellStart"/>
      <w:r>
        <w:rPr>
          <w:rFonts w:ascii="Arial" w:hAnsi="Arial"/>
          <w:sz w:val="24"/>
          <w:szCs w:val="24"/>
        </w:rPr>
        <w:t>mm.</w:t>
      </w:r>
      <w:proofErr w:type="spellEnd"/>
    </w:p>
    <w:p w14:paraId="0FCE04B4" w14:textId="77777777" w:rsidR="004B7E66" w:rsidRPr="00154386" w:rsidRDefault="00675F8C" w:rsidP="004B7E66">
      <w:pPr>
        <w:pStyle w:val="Paragraphedeliste"/>
        <w:numPr>
          <w:ilvl w:val="0"/>
          <w:numId w:val="3"/>
        </w:numPr>
        <w:spacing w:after="0" w:line="240" w:lineRule="auto"/>
        <w:rPr>
          <w:rFonts w:ascii="Arial" w:eastAsiaTheme="minorEastAsia" w:hAnsi="Arial" w:cs="Arial"/>
          <w:sz w:val="24"/>
          <w:szCs w:val="24"/>
        </w:rPr>
      </w:pPr>
      <w:r>
        <w:rPr>
          <w:rFonts w:ascii="Arial" w:hAnsi="Arial"/>
          <w:sz w:val="24"/>
          <w:szCs w:val="24"/>
        </w:rPr>
        <w:t>É</w:t>
      </w:r>
      <w:r w:rsidR="004B7E66">
        <w:rPr>
          <w:rFonts w:ascii="Arial" w:hAnsi="Arial"/>
          <w:sz w:val="24"/>
          <w:szCs w:val="24"/>
        </w:rPr>
        <w:t>lément de rehaussement standard en PE, rehaussement de 80 cm ou 40 cm.</w:t>
      </w:r>
    </w:p>
    <w:p w14:paraId="6D971EEA" w14:textId="77777777" w:rsidR="00A10AAD" w:rsidRPr="00154386" w:rsidRDefault="00A10AAD" w:rsidP="00A10AAD">
      <w:pPr>
        <w:numPr>
          <w:ilvl w:val="0"/>
          <w:numId w:val="2"/>
        </w:numPr>
        <w:spacing w:after="0" w:line="240" w:lineRule="auto"/>
        <w:contextualSpacing/>
        <w:rPr>
          <w:rFonts w:ascii="Arial" w:eastAsiaTheme="minorEastAsia" w:hAnsi="Arial" w:cs="Arial"/>
          <w:sz w:val="24"/>
          <w:szCs w:val="24"/>
        </w:rPr>
      </w:pPr>
      <w:r>
        <w:rPr>
          <w:rFonts w:ascii="Arial" w:hAnsi="Arial"/>
          <w:sz w:val="24"/>
          <w:szCs w:val="24"/>
        </w:rPr>
        <w:t>Alarmes : disponibles pour la détection d’huile ou la détection d’huile et de boues. Fiches techniques sur demande.</w:t>
      </w:r>
    </w:p>
    <w:p w14:paraId="5989F9AE" w14:textId="77777777" w:rsidR="00A10AAD" w:rsidRDefault="00A10AAD" w:rsidP="00A10AAD">
      <w:pPr>
        <w:spacing w:after="0" w:line="240" w:lineRule="auto"/>
        <w:contextualSpacing/>
        <w:rPr>
          <w:rFonts w:ascii="Arial" w:eastAsiaTheme="minorEastAsia" w:hAnsi="Arial" w:cs="Arial"/>
          <w:sz w:val="24"/>
          <w:szCs w:val="24"/>
          <w:lang w:eastAsia="nl-BE"/>
        </w:rPr>
      </w:pPr>
    </w:p>
    <w:p w14:paraId="1D3C8006" w14:textId="77777777" w:rsidR="00154386" w:rsidRDefault="00154386" w:rsidP="007F1D22">
      <w:pPr>
        <w:spacing w:after="0" w:line="240" w:lineRule="auto"/>
        <w:rPr>
          <w:rFonts w:ascii="Arial" w:eastAsiaTheme="minorEastAsia" w:hAnsi="Arial" w:cs="Arial"/>
          <w:b/>
          <w:sz w:val="24"/>
          <w:szCs w:val="24"/>
          <w:lang w:eastAsia="nl-BE"/>
        </w:rPr>
      </w:pPr>
    </w:p>
    <w:p w14:paraId="35082AAA" w14:textId="77777777" w:rsidR="007F1D22" w:rsidRPr="00154386" w:rsidRDefault="007F1D22" w:rsidP="007F1D22">
      <w:pPr>
        <w:spacing w:after="0" w:line="240" w:lineRule="auto"/>
        <w:rPr>
          <w:rFonts w:ascii="Arial" w:eastAsiaTheme="minorEastAsia" w:hAnsi="Arial" w:cs="Arial"/>
          <w:b/>
          <w:sz w:val="24"/>
          <w:szCs w:val="24"/>
        </w:rPr>
      </w:pPr>
      <w:r>
        <w:rPr>
          <w:rFonts w:ascii="Arial" w:hAnsi="Arial"/>
          <w:b/>
          <w:sz w:val="24"/>
          <w:szCs w:val="24"/>
        </w:rPr>
        <w:t>Installation</w:t>
      </w:r>
    </w:p>
    <w:p w14:paraId="15599659" w14:textId="77777777" w:rsidR="003A5513" w:rsidRPr="00154386" w:rsidRDefault="003A5513" w:rsidP="003A5513">
      <w:pPr>
        <w:spacing w:after="0" w:line="240" w:lineRule="auto"/>
        <w:rPr>
          <w:rFonts w:ascii="Arial" w:eastAsiaTheme="minorEastAsia" w:hAnsi="Arial" w:cs="Arial"/>
          <w:sz w:val="24"/>
          <w:szCs w:val="24"/>
          <w:lang w:eastAsia="nl-BE"/>
        </w:rPr>
      </w:pPr>
    </w:p>
    <w:p w14:paraId="28E99EF6" w14:textId="77777777" w:rsidR="007F1D22" w:rsidRPr="00154386" w:rsidRDefault="007F1D22" w:rsidP="007F1D22">
      <w:pPr>
        <w:pStyle w:val="Paragraphedeliste"/>
        <w:numPr>
          <w:ilvl w:val="0"/>
          <w:numId w:val="2"/>
        </w:numPr>
        <w:spacing w:after="0" w:line="240" w:lineRule="auto"/>
        <w:rPr>
          <w:rFonts w:ascii="Arial" w:eastAsiaTheme="minorEastAsia" w:hAnsi="Arial" w:cs="Arial"/>
          <w:sz w:val="24"/>
          <w:szCs w:val="24"/>
        </w:rPr>
      </w:pPr>
      <w:r>
        <w:rPr>
          <w:rFonts w:ascii="Arial" w:hAnsi="Arial"/>
          <w:sz w:val="24"/>
          <w:szCs w:val="24"/>
        </w:rPr>
        <w:t>Selon les prescriptions du fabricant.</w:t>
      </w:r>
    </w:p>
    <w:sectPr w:rsidR="007F1D22" w:rsidRPr="00154386" w:rsidSect="00420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A0DC" w14:textId="77777777" w:rsidR="00885D8A" w:rsidRDefault="00885D8A" w:rsidP="00885D8A">
      <w:pPr>
        <w:spacing w:after="0" w:line="240" w:lineRule="auto"/>
      </w:pPr>
      <w:r>
        <w:separator/>
      </w:r>
    </w:p>
  </w:endnote>
  <w:endnote w:type="continuationSeparator" w:id="0">
    <w:p w14:paraId="5E548925" w14:textId="77777777" w:rsidR="00885D8A" w:rsidRDefault="00885D8A" w:rsidP="0088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1F53" w14:textId="77777777" w:rsidR="00885D8A" w:rsidRDefault="00885D8A" w:rsidP="00885D8A">
      <w:pPr>
        <w:spacing w:after="0" w:line="240" w:lineRule="auto"/>
      </w:pPr>
      <w:r>
        <w:separator/>
      </w:r>
    </w:p>
  </w:footnote>
  <w:footnote w:type="continuationSeparator" w:id="0">
    <w:p w14:paraId="30BB481F" w14:textId="77777777" w:rsidR="00885D8A" w:rsidRDefault="00885D8A" w:rsidP="0088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33E85"/>
    <w:multiLevelType w:val="hybridMultilevel"/>
    <w:tmpl w:val="5C00BD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D0C1BEA"/>
    <w:multiLevelType w:val="hybridMultilevel"/>
    <w:tmpl w:val="B1AA775E"/>
    <w:lvl w:ilvl="0" w:tplc="486CA90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5A52577"/>
    <w:multiLevelType w:val="hybridMultilevel"/>
    <w:tmpl w:val="0D90B6BC"/>
    <w:lvl w:ilvl="0" w:tplc="D0CA7B8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5C1DAF"/>
    <w:multiLevelType w:val="hybridMultilevel"/>
    <w:tmpl w:val="3E20B786"/>
    <w:lvl w:ilvl="0" w:tplc="6A9EAB54">
      <w:start w:val="1"/>
      <w:numFmt w:val="upperLetter"/>
      <w:lvlText w:val="%1."/>
      <w:lvlJc w:val="left"/>
      <w:pPr>
        <w:ind w:left="1065" w:hanging="360"/>
      </w:pPr>
      <w:rPr>
        <w:rFonts w:hint="default"/>
        <w:u w:val="single"/>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30"/>
    <w:rsid w:val="00024BC8"/>
    <w:rsid w:val="00074670"/>
    <w:rsid w:val="00094A99"/>
    <w:rsid w:val="000C05FB"/>
    <w:rsid w:val="000E7CA1"/>
    <w:rsid w:val="0011354A"/>
    <w:rsid w:val="00151391"/>
    <w:rsid w:val="00154386"/>
    <w:rsid w:val="00171253"/>
    <w:rsid w:val="00173005"/>
    <w:rsid w:val="001F6385"/>
    <w:rsid w:val="00221BE7"/>
    <w:rsid w:val="00231F09"/>
    <w:rsid w:val="002473DD"/>
    <w:rsid w:val="00276181"/>
    <w:rsid w:val="002B5E0B"/>
    <w:rsid w:val="002C4A4F"/>
    <w:rsid w:val="002C6F59"/>
    <w:rsid w:val="00313056"/>
    <w:rsid w:val="00330639"/>
    <w:rsid w:val="003616A3"/>
    <w:rsid w:val="00366B39"/>
    <w:rsid w:val="003A5513"/>
    <w:rsid w:val="003E74F3"/>
    <w:rsid w:val="00420D12"/>
    <w:rsid w:val="004A1D30"/>
    <w:rsid w:val="004B7E66"/>
    <w:rsid w:val="005231A9"/>
    <w:rsid w:val="00532E20"/>
    <w:rsid w:val="00593C87"/>
    <w:rsid w:val="00675F8C"/>
    <w:rsid w:val="006A5FDD"/>
    <w:rsid w:val="006B6D55"/>
    <w:rsid w:val="006D755A"/>
    <w:rsid w:val="00705021"/>
    <w:rsid w:val="007168FE"/>
    <w:rsid w:val="00734F43"/>
    <w:rsid w:val="0074615E"/>
    <w:rsid w:val="00773D22"/>
    <w:rsid w:val="007D614C"/>
    <w:rsid w:val="007D77B9"/>
    <w:rsid w:val="007E4D75"/>
    <w:rsid w:val="007E570A"/>
    <w:rsid w:val="007F1D22"/>
    <w:rsid w:val="00885D8A"/>
    <w:rsid w:val="009B6D87"/>
    <w:rsid w:val="009D0971"/>
    <w:rsid w:val="009D737D"/>
    <w:rsid w:val="009E2C13"/>
    <w:rsid w:val="00A10AAD"/>
    <w:rsid w:val="00A27FC6"/>
    <w:rsid w:val="00A5138A"/>
    <w:rsid w:val="00AA5D48"/>
    <w:rsid w:val="00AB42F7"/>
    <w:rsid w:val="00B17D5F"/>
    <w:rsid w:val="00B41FD5"/>
    <w:rsid w:val="00B448ED"/>
    <w:rsid w:val="00C872BC"/>
    <w:rsid w:val="00CB623E"/>
    <w:rsid w:val="00CC7EF1"/>
    <w:rsid w:val="00CD2A86"/>
    <w:rsid w:val="00D0051C"/>
    <w:rsid w:val="00D00A7E"/>
    <w:rsid w:val="00D31077"/>
    <w:rsid w:val="00D45706"/>
    <w:rsid w:val="00D60E42"/>
    <w:rsid w:val="00DA56BC"/>
    <w:rsid w:val="00DB3D43"/>
    <w:rsid w:val="00DB49C7"/>
    <w:rsid w:val="00DD08A8"/>
    <w:rsid w:val="00DD5673"/>
    <w:rsid w:val="00DE31A4"/>
    <w:rsid w:val="00DE6FCC"/>
    <w:rsid w:val="00DF49BA"/>
    <w:rsid w:val="00E101CD"/>
    <w:rsid w:val="00E4015D"/>
    <w:rsid w:val="00EB485F"/>
    <w:rsid w:val="00F22ED3"/>
    <w:rsid w:val="00F2649E"/>
    <w:rsid w:val="00F43E6E"/>
    <w:rsid w:val="00F5592C"/>
    <w:rsid w:val="00F60874"/>
    <w:rsid w:val="00F73729"/>
    <w:rsid w:val="00F73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6B2F"/>
  <w15:docId w15:val="{93FE25FB-A664-4DA5-907A-5ADB8449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1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A1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D30"/>
    <w:rPr>
      <w:rFonts w:ascii="Tahoma" w:hAnsi="Tahoma" w:cs="Tahoma"/>
      <w:sz w:val="16"/>
      <w:szCs w:val="16"/>
    </w:rPr>
  </w:style>
  <w:style w:type="paragraph" w:styleId="Paragraphedeliste">
    <w:name w:val="List Paragraph"/>
    <w:basedOn w:val="Normal"/>
    <w:uiPriority w:val="34"/>
    <w:qFormat/>
    <w:rsid w:val="00E4015D"/>
    <w:pPr>
      <w:ind w:left="720"/>
      <w:contextualSpacing/>
    </w:pPr>
  </w:style>
  <w:style w:type="paragraph" w:styleId="En-tte">
    <w:name w:val="header"/>
    <w:basedOn w:val="Normal"/>
    <w:link w:val="En-tteCar"/>
    <w:uiPriority w:val="99"/>
    <w:unhideWhenUsed/>
    <w:rsid w:val="00885D8A"/>
    <w:pPr>
      <w:tabs>
        <w:tab w:val="center" w:pos="4536"/>
        <w:tab w:val="right" w:pos="9072"/>
      </w:tabs>
      <w:spacing w:after="0" w:line="240" w:lineRule="auto"/>
    </w:pPr>
  </w:style>
  <w:style w:type="character" w:customStyle="1" w:styleId="En-tteCar">
    <w:name w:val="En-tête Car"/>
    <w:basedOn w:val="Policepardfaut"/>
    <w:link w:val="En-tte"/>
    <w:uiPriority w:val="99"/>
    <w:rsid w:val="00885D8A"/>
  </w:style>
  <w:style w:type="paragraph" w:styleId="Pieddepage">
    <w:name w:val="footer"/>
    <w:basedOn w:val="Normal"/>
    <w:link w:val="PieddepageCar"/>
    <w:uiPriority w:val="99"/>
    <w:unhideWhenUsed/>
    <w:rsid w:val="0088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7428">
      <w:bodyDiv w:val="1"/>
      <w:marLeft w:val="0"/>
      <w:marRight w:val="0"/>
      <w:marTop w:val="0"/>
      <w:marBottom w:val="0"/>
      <w:divBdr>
        <w:top w:val="none" w:sz="0" w:space="0" w:color="auto"/>
        <w:left w:val="none" w:sz="0" w:space="0" w:color="auto"/>
        <w:bottom w:val="none" w:sz="0" w:space="0" w:color="auto"/>
        <w:right w:val="none" w:sz="0" w:space="0" w:color="auto"/>
      </w:divBdr>
    </w:div>
    <w:div w:id="931472743">
      <w:bodyDiv w:val="1"/>
      <w:marLeft w:val="0"/>
      <w:marRight w:val="0"/>
      <w:marTop w:val="0"/>
      <w:marBottom w:val="0"/>
      <w:divBdr>
        <w:top w:val="none" w:sz="0" w:space="0" w:color="auto"/>
        <w:left w:val="none" w:sz="0" w:space="0" w:color="auto"/>
        <w:bottom w:val="none" w:sz="0" w:space="0" w:color="auto"/>
        <w:right w:val="none" w:sz="0" w:space="0" w:color="auto"/>
      </w:divBdr>
    </w:div>
    <w:div w:id="17061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(Collinet) Marc Staes</dc:creator>
  <cp:lastModifiedBy>Home Office Translations</cp:lastModifiedBy>
  <cp:revision>3</cp:revision>
  <dcterms:created xsi:type="dcterms:W3CDTF">2021-01-04T13:37:00Z</dcterms:created>
  <dcterms:modified xsi:type="dcterms:W3CDTF">2021-01-04T13:42:00Z</dcterms:modified>
</cp:coreProperties>
</file>