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2B4BE1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7A334F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INFILTRATIEBUIS SN8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4BE1" w:rsidRDefault="002B4BE1" w:rsidP="002B4BE1">
      <w:pPr>
        <w:rPr>
          <w:rFonts w:ascii="Arial" w:hAnsi="Arial" w:cs="Arial"/>
          <w:sz w:val="24"/>
          <w:szCs w:val="24"/>
        </w:rPr>
      </w:pPr>
    </w:p>
    <w:p w:rsidR="007A334F" w:rsidRPr="007A334F" w:rsidRDefault="007A334F" w:rsidP="007A334F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Waterdoorlatende buizen in kunststof volgens NBN T42-115</w:t>
      </w:r>
    </w:p>
    <w:p w:rsidR="007A334F" w:rsidRPr="007A334F" w:rsidRDefault="007A334F" w:rsidP="007A334F">
      <w:pPr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br/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drainerende of infiltrerende leiding is een dubbelwandige PP buis die geperforeerde is .Buizen moeten minimum stijfheid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klasse SN8 hebben en dienen omwikkeld te zijn met </w:t>
      </w:r>
      <w:proofErr w:type="spellStart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geotextiel</w:t>
      </w:r>
      <w:proofErr w:type="spellEnd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conform PTV 829. De buizen en hulpstukken moeten beantwoorden aan de eisen van NBN T42-115.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 xml:space="preserve">De buizen zijn bij levering voorzien van een omwikkeling met geweven waterdoorlatend </w:t>
      </w:r>
      <w:proofErr w:type="spellStart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geotextiel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voor infiltratie dat voldoet aan type 5.3 van tabel 5 van PTV 829, type HF180.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 buizen zijn samen met het </w:t>
      </w:r>
      <w:proofErr w:type="spellStart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geotextiel</w:t>
      </w:r>
      <w:proofErr w:type="spellEnd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onder BENOR-kwaliteitskeurmerk op de werf te leveren.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 xml:space="preserve">De buisverbinding is met spie-eind en vaste mof met </w:t>
      </w:r>
      <w:proofErr w:type="spellStart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voorgemonteerde</w:t>
      </w:r>
      <w:proofErr w:type="spellEnd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rubberen dichting op het spie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einde. </w:t>
      </w:r>
    </w:p>
    <w:p w:rsidR="007A334F" w:rsidRPr="007A334F" w:rsidRDefault="007A334F" w:rsidP="007A334F">
      <w:pPr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buizen en hulpstukken moeten van eenzelfde leverancier afkomstig zijn.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De binnenkant van de buizen is glad en licht van kleur (wit), buitenkant is geribbeld en zwart van kleur.</w:t>
      </w:r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 xml:space="preserve">De buizen zijn </w:t>
      </w:r>
      <w:proofErr w:type="spellStart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recycleerbaar</w:t>
      </w:r>
      <w:proofErr w:type="spellEnd"/>
      <w:r w:rsidRPr="007A334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7A334F" w:rsidRPr="007A334F" w:rsidRDefault="007A334F" w:rsidP="007A334F">
      <w:pPr>
        <w:spacing w:after="16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7A334F" w:rsidRPr="007A334F" w:rsidRDefault="007A334F" w:rsidP="007A334F">
      <w:pPr>
        <w:spacing w:after="16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7A334F">
        <w:rPr>
          <w:rFonts w:eastAsiaTheme="minorHAnsi"/>
          <w:noProof/>
        </w:rPr>
        <w:drawing>
          <wp:inline distT="0" distB="0" distL="0" distR="0" wp14:anchorId="009A361F" wp14:editId="371B00DB">
            <wp:extent cx="5760720" cy="2174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4F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 wp14:anchorId="21FC90E0" wp14:editId="714EB2F8">
            <wp:extent cx="5760720" cy="23501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4F" w:rsidRPr="007A334F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1056" w:rsidRPr="007A334F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sz w:val="24"/>
          <w:szCs w:val="24"/>
          <w:lang w:eastAsia="en-US"/>
        </w:rPr>
        <w:t xml:space="preserve">Standaard is deze buis rondom (360°) </w:t>
      </w:r>
      <w:proofErr w:type="spellStart"/>
      <w:r w:rsidRPr="007A334F">
        <w:rPr>
          <w:rFonts w:ascii="Arial" w:eastAsiaTheme="minorHAnsi" w:hAnsi="Arial" w:cs="Arial"/>
          <w:sz w:val="24"/>
          <w:szCs w:val="24"/>
          <w:lang w:eastAsia="en-US"/>
        </w:rPr>
        <w:t>gesleufd</w:t>
      </w:r>
      <w:proofErr w:type="spellEnd"/>
      <w:r w:rsidRPr="007A334F">
        <w:rPr>
          <w:rFonts w:ascii="Arial" w:eastAsiaTheme="minorHAnsi" w:hAnsi="Arial" w:cs="Arial"/>
          <w:sz w:val="24"/>
          <w:szCs w:val="24"/>
          <w:lang w:eastAsia="en-US"/>
        </w:rPr>
        <w:t xml:space="preserve"> type TP, op aanvraag type LP en MP (respectievelijk 220 en 120°) bovenkant wordt dan voorzien van gekleurde streep over de volledige lengte van de buis.</w:t>
      </w:r>
      <w:bookmarkStart w:id="0" w:name="_GoBack"/>
      <w:bookmarkEnd w:id="0"/>
    </w:p>
    <w:sectPr w:rsidR="00271056" w:rsidRPr="007A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271056"/>
    <w:rsid w:val="002B4BE1"/>
    <w:rsid w:val="00687C34"/>
    <w:rsid w:val="007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F13D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2</cp:revision>
  <dcterms:created xsi:type="dcterms:W3CDTF">2021-01-04T11:59:00Z</dcterms:created>
  <dcterms:modified xsi:type="dcterms:W3CDTF">2021-01-04T11:59:00Z</dcterms:modified>
</cp:coreProperties>
</file>